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CD" w:rsidRPr="00B2468A" w:rsidRDefault="00BF3694">
      <w:pPr>
        <w:rPr>
          <w:b/>
        </w:rPr>
      </w:pPr>
      <w:r w:rsidRPr="00B2468A">
        <w:rPr>
          <w:b/>
        </w:rPr>
        <w:t>GIS Work Products Supporting the WRFS Solver:</w:t>
      </w:r>
    </w:p>
    <w:p w:rsidR="00BF3694" w:rsidRDefault="00BF3694"/>
    <w:p w:rsidR="0002166E" w:rsidRDefault="0002166E" w:rsidP="00B2468A">
      <w:pPr>
        <w:pStyle w:val="ListParagraph"/>
        <w:numPr>
          <w:ilvl w:val="0"/>
          <w:numId w:val="1"/>
        </w:numPr>
        <w:jc w:val="both"/>
      </w:pPr>
      <w:r>
        <w:t>Hydrographic area boundaries (</w:t>
      </w:r>
      <w:r w:rsidR="006E66C6">
        <w:rPr>
          <w:i/>
        </w:rPr>
        <w:t>HA_WRFS_Eakin1966.shp</w:t>
      </w:r>
      <w:r>
        <w:t>)</w:t>
      </w:r>
      <w:r w:rsidR="00B86F82">
        <w:t>.</w:t>
      </w:r>
    </w:p>
    <w:p w:rsidR="0002166E" w:rsidRDefault="0002166E" w:rsidP="00B2468A">
      <w:pPr>
        <w:pStyle w:val="ListParagraph"/>
        <w:ind w:left="360"/>
        <w:jc w:val="both"/>
      </w:pPr>
    </w:p>
    <w:p w:rsidR="00BF3694" w:rsidRDefault="00BF3694" w:rsidP="00B2468A">
      <w:pPr>
        <w:pStyle w:val="ListParagraph"/>
        <w:numPr>
          <w:ilvl w:val="0"/>
          <w:numId w:val="1"/>
        </w:numPr>
        <w:jc w:val="both"/>
      </w:pPr>
      <w:r>
        <w:t>PRISM precipitation</w:t>
      </w:r>
      <w:r w:rsidR="00B86F82">
        <w:t>-</w:t>
      </w:r>
      <w:r>
        <w:t>grid file clipped to the rectangular extent of the WRFS (</w:t>
      </w:r>
      <w:r w:rsidR="00B86F82">
        <w:t>PRISM</w:t>
      </w:r>
      <w:r>
        <w:t>, 2010</w:t>
      </w:r>
      <w:r w:rsidR="00B86F82">
        <w:t>a</w:t>
      </w:r>
      <w:r>
        <w:t xml:space="preserve">; </w:t>
      </w:r>
      <w:r w:rsidR="00B86F82">
        <w:t xml:space="preserve">normal </w:t>
      </w:r>
      <w:r w:rsidR="00FF35C3">
        <w:t>800-</w:t>
      </w:r>
      <w:r w:rsidR="00B86F82">
        <w:t>m</w:t>
      </w:r>
      <w:r w:rsidR="00FF35C3">
        <w:t>eter</w:t>
      </w:r>
      <w:r w:rsidR="00B86F82">
        <w:t>,</w:t>
      </w:r>
      <w:r w:rsidR="00FF35C3">
        <w:t xml:space="preserve"> </w:t>
      </w:r>
      <w:r>
        <w:t>v</w:t>
      </w:r>
      <w:r w:rsidR="00B86F82">
        <w:t xml:space="preserve">ersion </w:t>
      </w:r>
      <w:r>
        <w:t>3) (</w:t>
      </w:r>
      <w:r w:rsidR="006E66C6">
        <w:rPr>
          <w:i/>
        </w:rPr>
        <w:t>prism_800mv3</w:t>
      </w:r>
      <w:r>
        <w:t>)</w:t>
      </w:r>
      <w:r w:rsidR="00B86F82">
        <w:t>.</w:t>
      </w:r>
    </w:p>
    <w:p w:rsidR="00BF3694" w:rsidRDefault="00BF3694" w:rsidP="00B2468A">
      <w:pPr>
        <w:pStyle w:val="ListParagraph"/>
        <w:ind w:left="360"/>
        <w:jc w:val="both"/>
      </w:pPr>
    </w:p>
    <w:p w:rsidR="00BF3694" w:rsidRDefault="00BF3694" w:rsidP="00B2468A">
      <w:pPr>
        <w:pStyle w:val="ListParagraph"/>
        <w:numPr>
          <w:ilvl w:val="0"/>
          <w:numId w:val="1"/>
        </w:numPr>
        <w:jc w:val="both"/>
      </w:pPr>
      <w:r>
        <w:t>1-inch precipitation contours for the WRFS domain derived from the PRISM precipitation grid (</w:t>
      </w:r>
      <w:r w:rsidR="006E66C6">
        <w:rPr>
          <w:i/>
        </w:rPr>
        <w:t>PRISM_800m_1in_Contour_Polyline.shp</w:t>
      </w:r>
      <w:r>
        <w:t>)</w:t>
      </w:r>
      <w:r w:rsidR="00B86F82">
        <w:t>.</w:t>
      </w:r>
    </w:p>
    <w:p w:rsidR="00BF3694" w:rsidRDefault="00BF3694" w:rsidP="00B2468A">
      <w:pPr>
        <w:pStyle w:val="ListParagraph"/>
        <w:jc w:val="both"/>
      </w:pPr>
    </w:p>
    <w:p w:rsidR="00BF3694" w:rsidRDefault="00BF3694" w:rsidP="00B2468A">
      <w:pPr>
        <w:pStyle w:val="ListParagraph"/>
        <w:numPr>
          <w:ilvl w:val="0"/>
          <w:numId w:val="1"/>
        </w:numPr>
        <w:jc w:val="both"/>
      </w:pPr>
      <w:r>
        <w:t>1-inch precipitation polygons derived from the 1-inch precipitation contours</w:t>
      </w:r>
      <w:r w:rsidR="00B86F82">
        <w:t>:</w:t>
      </w:r>
    </w:p>
    <w:p w:rsidR="00BF3694" w:rsidRDefault="00BF3694" w:rsidP="00B2468A">
      <w:pPr>
        <w:pStyle w:val="ListParagraph"/>
        <w:jc w:val="both"/>
      </w:pPr>
    </w:p>
    <w:p w:rsidR="00BF3694" w:rsidRDefault="00BF3694" w:rsidP="00B2468A">
      <w:pPr>
        <w:pStyle w:val="ListParagraph"/>
        <w:numPr>
          <w:ilvl w:val="1"/>
          <w:numId w:val="1"/>
        </w:numPr>
        <w:jc w:val="both"/>
      </w:pPr>
      <w:r>
        <w:t xml:space="preserve">Used to derive </w:t>
      </w:r>
      <w:r w:rsidR="00B86F82">
        <w:t>precipitation-interval areas and their corresponding</w:t>
      </w:r>
      <w:r>
        <w:t xml:space="preserve"> precipitation volumes </w:t>
      </w:r>
      <w:r w:rsidR="00B86F82">
        <w:t xml:space="preserve">that are </w:t>
      </w:r>
      <w:r>
        <w:t>used in the solver</w:t>
      </w:r>
      <w:r w:rsidR="0002166E">
        <w:t xml:space="preserve"> (</w:t>
      </w:r>
      <w:r w:rsidR="006E66C6">
        <w:rPr>
          <w:i/>
        </w:rPr>
        <w:t>PRISM_800m_1in_Contour_Polygon.shp</w:t>
      </w:r>
      <w:r w:rsidR="0002166E">
        <w:t>)</w:t>
      </w:r>
      <w:r w:rsidR="00B86F82">
        <w:t>.</w:t>
      </w:r>
    </w:p>
    <w:p w:rsidR="00BF3694" w:rsidRDefault="00BF3694" w:rsidP="00B2468A">
      <w:pPr>
        <w:pStyle w:val="ListParagraph"/>
        <w:jc w:val="both"/>
      </w:pPr>
    </w:p>
    <w:p w:rsidR="00BF3694" w:rsidRDefault="00BF3694" w:rsidP="00B2468A">
      <w:pPr>
        <w:pStyle w:val="ListParagraph"/>
        <w:numPr>
          <w:ilvl w:val="0"/>
          <w:numId w:val="1"/>
        </w:numPr>
        <w:jc w:val="both"/>
      </w:pPr>
      <w:r>
        <w:t xml:space="preserve">Areas of “no recharge” were derived from the </w:t>
      </w:r>
      <w:r w:rsidR="00B86F82">
        <w:t>intersection</w:t>
      </w:r>
      <w:r>
        <w:t xml:space="preserve"> of the following areas</w:t>
      </w:r>
      <w:r w:rsidR="006E66C6">
        <w:t xml:space="preserve"> (</w:t>
      </w:r>
      <w:r w:rsidR="006E66C6">
        <w:rPr>
          <w:i/>
        </w:rPr>
        <w:t>Area_No_Recharge_WRFS.shp</w:t>
      </w:r>
      <w:r w:rsidR="006E66C6">
        <w:t>)</w:t>
      </w:r>
      <w:r>
        <w:t>:</w:t>
      </w:r>
    </w:p>
    <w:p w:rsidR="00BF3694" w:rsidRDefault="00BF3694" w:rsidP="00B2468A">
      <w:pPr>
        <w:pStyle w:val="ListParagraph"/>
        <w:ind w:left="360"/>
        <w:jc w:val="both"/>
      </w:pPr>
    </w:p>
    <w:p w:rsidR="00BF3694" w:rsidRDefault="0002166E" w:rsidP="00B2468A">
      <w:pPr>
        <w:pStyle w:val="ListParagraph"/>
        <w:numPr>
          <w:ilvl w:val="1"/>
          <w:numId w:val="1"/>
        </w:numPr>
        <w:jc w:val="both"/>
      </w:pPr>
      <w:r>
        <w:t>Areas where precipitation is less than or equal to 8 inches derived from the 1-inch precipitation contours (</w:t>
      </w:r>
      <w:r w:rsidR="006E66C6" w:rsidRPr="006E66C6">
        <w:rPr>
          <w:i/>
        </w:rPr>
        <w:t>Area_Precipitation_less_than_8in.shp</w:t>
      </w:r>
      <w:r>
        <w:t>)</w:t>
      </w:r>
    </w:p>
    <w:p w:rsidR="00B86F82" w:rsidRDefault="00B86F82" w:rsidP="00B86F82">
      <w:pPr>
        <w:pStyle w:val="ListParagraph"/>
        <w:ind w:left="1080"/>
        <w:jc w:val="both"/>
      </w:pPr>
    </w:p>
    <w:p w:rsidR="0002166E" w:rsidRDefault="00B86F82" w:rsidP="00B2468A">
      <w:pPr>
        <w:pStyle w:val="ListParagraph"/>
        <w:numPr>
          <w:ilvl w:val="1"/>
          <w:numId w:val="1"/>
        </w:numPr>
        <w:jc w:val="both"/>
      </w:pPr>
      <w:r>
        <w:t>Groundwater-</w:t>
      </w:r>
      <w:r w:rsidR="0002166E">
        <w:t>ET extent boundaries (SNWA, 2009; Burns and Drici, 2011) (</w:t>
      </w:r>
      <w:r w:rsidR="006E66C6">
        <w:rPr>
          <w:i/>
        </w:rPr>
        <w:t>Gr</w:t>
      </w:r>
      <w:r w:rsidR="006E66C6" w:rsidRPr="006E66C6">
        <w:rPr>
          <w:i/>
        </w:rPr>
        <w:t>oundwaterETarea.shp</w:t>
      </w:r>
      <w:r w:rsidR="0002166E">
        <w:t>)</w:t>
      </w:r>
    </w:p>
    <w:p w:rsidR="00B86F82" w:rsidRDefault="00B86F82" w:rsidP="00B86F82">
      <w:pPr>
        <w:jc w:val="both"/>
      </w:pPr>
    </w:p>
    <w:p w:rsidR="0002166E" w:rsidRDefault="0002166E" w:rsidP="00B2468A">
      <w:pPr>
        <w:pStyle w:val="ListParagraph"/>
        <w:numPr>
          <w:ilvl w:val="1"/>
          <w:numId w:val="1"/>
        </w:numPr>
        <w:jc w:val="both"/>
      </w:pPr>
      <w:r>
        <w:t>Delineation of valley bottoms based on USGS DEM and processing steps reported in Burns and Drici (2011, p. F-12)</w:t>
      </w:r>
      <w:r w:rsidR="00B2468A">
        <w:t xml:space="preserve"> (</w:t>
      </w:r>
      <w:r w:rsidR="006E66C6">
        <w:rPr>
          <w:i/>
        </w:rPr>
        <w:t>Valley_Bottom.shp</w:t>
      </w:r>
      <w:r w:rsidR="00B2468A">
        <w:t>)</w:t>
      </w:r>
    </w:p>
    <w:p w:rsidR="0002166E" w:rsidRDefault="0002166E" w:rsidP="00B2468A">
      <w:pPr>
        <w:pStyle w:val="ListParagraph"/>
        <w:ind w:left="1080"/>
        <w:jc w:val="both"/>
      </w:pPr>
    </w:p>
    <w:p w:rsidR="0002166E" w:rsidRDefault="0002166E" w:rsidP="00B2468A">
      <w:pPr>
        <w:pStyle w:val="ListParagraph"/>
        <w:numPr>
          <w:ilvl w:val="0"/>
          <w:numId w:val="1"/>
        </w:numPr>
        <w:jc w:val="both"/>
      </w:pPr>
      <w:r>
        <w:t xml:space="preserve">Watershed delineation for </w:t>
      </w:r>
      <w:r w:rsidR="00662997">
        <w:t>p</w:t>
      </w:r>
      <w:r w:rsidR="00B2468A">
        <w:t>ortions</w:t>
      </w:r>
      <w:r w:rsidR="00662997">
        <w:t xml:space="preserve"> of</w:t>
      </w:r>
      <w:r w:rsidR="00B2468A">
        <w:t xml:space="preserve"> </w:t>
      </w:r>
      <w:r>
        <w:t xml:space="preserve">Cave Valley interpreted </w:t>
      </w:r>
      <w:r w:rsidR="00662997">
        <w:t xml:space="preserve">to contribute outflow to White River Valley through Shingle Pass </w:t>
      </w:r>
      <w:r w:rsidR="00B86F82">
        <w:t xml:space="preserve">( Burns and Drici, 2011; p. 7-11) </w:t>
      </w:r>
      <w:r w:rsidR="00662997">
        <w:t>(</w:t>
      </w:r>
      <w:r w:rsidR="006E66C6">
        <w:rPr>
          <w:i/>
        </w:rPr>
        <w:t>Shingle_Pass_Watershed.shp</w:t>
      </w:r>
      <w:r w:rsidR="00662997">
        <w:t>)</w:t>
      </w:r>
    </w:p>
    <w:p w:rsidR="00B2468A" w:rsidRDefault="00B2468A" w:rsidP="00B2468A">
      <w:pPr>
        <w:pStyle w:val="ListParagraph"/>
        <w:ind w:left="360"/>
        <w:jc w:val="both"/>
      </w:pPr>
    </w:p>
    <w:p w:rsidR="00F11D5A" w:rsidRDefault="00F11D5A" w:rsidP="00B2468A">
      <w:pPr>
        <w:pStyle w:val="ListParagraph"/>
        <w:ind w:left="360"/>
        <w:jc w:val="both"/>
      </w:pPr>
    </w:p>
    <w:p w:rsidR="00B2468A" w:rsidRDefault="00B2468A" w:rsidP="00E36998">
      <w:pPr>
        <w:jc w:val="both"/>
      </w:pPr>
    </w:p>
    <w:p w:rsidR="00B2468A" w:rsidRPr="00226D17" w:rsidRDefault="00226D17" w:rsidP="00226D17">
      <w:pPr>
        <w:jc w:val="both"/>
        <w:rPr>
          <w:b/>
        </w:rPr>
      </w:pPr>
      <w:r w:rsidRPr="00226D17">
        <w:rPr>
          <w:b/>
        </w:rPr>
        <w:lastRenderedPageBreak/>
        <w:t>WRFS Solver Additions:</w:t>
      </w:r>
    </w:p>
    <w:p w:rsidR="00226D17" w:rsidRDefault="00226D17" w:rsidP="00226D17">
      <w:pPr>
        <w:jc w:val="both"/>
      </w:pPr>
    </w:p>
    <w:p w:rsidR="00226D17" w:rsidRDefault="00435D2A" w:rsidP="00226D17">
      <w:pPr>
        <w:pStyle w:val="ListParagraph"/>
        <w:numPr>
          <w:ilvl w:val="0"/>
          <w:numId w:val="2"/>
        </w:numPr>
        <w:jc w:val="both"/>
      </w:pPr>
      <w:r>
        <w:t>A</w:t>
      </w:r>
      <w:r w:rsidR="00226D17">
        <w:t>dditional language to worksheet “</w:t>
      </w:r>
      <w:r w:rsidR="00226D17" w:rsidRPr="00435D2A">
        <w:rPr>
          <w:i/>
        </w:rPr>
        <w:t>1–Explanation</w:t>
      </w:r>
      <w:r w:rsidR="00226D17">
        <w:t xml:space="preserve">” </w:t>
      </w:r>
      <w:r>
        <w:t xml:space="preserve">was added </w:t>
      </w:r>
      <w:r w:rsidR="00226D17">
        <w:t xml:space="preserve">to document additional worksheets that were added to the solver for the purpose of quantifying recharge for all basins of the WRFS given the solution </w:t>
      </w:r>
      <w:r w:rsidR="00AE5224">
        <w:t>reported</w:t>
      </w:r>
      <w:r w:rsidR="00226D17">
        <w:t xml:space="preserve"> </w:t>
      </w:r>
      <w:r w:rsidR="00AE5224">
        <w:t>in</w:t>
      </w:r>
      <w:r w:rsidR="00226D17">
        <w:t xml:space="preserve"> Burns and Drici (2011).</w:t>
      </w:r>
    </w:p>
    <w:p w:rsidR="00226D17" w:rsidRDefault="00226D17" w:rsidP="00226D17">
      <w:pPr>
        <w:pStyle w:val="ListParagraph"/>
        <w:ind w:left="360"/>
        <w:jc w:val="both"/>
      </w:pPr>
    </w:p>
    <w:p w:rsidR="00226D17" w:rsidRDefault="00435D2A" w:rsidP="00226D17">
      <w:pPr>
        <w:pStyle w:val="ListParagraph"/>
        <w:numPr>
          <w:ilvl w:val="0"/>
          <w:numId w:val="2"/>
        </w:numPr>
        <w:jc w:val="both"/>
      </w:pPr>
      <w:r>
        <w:t>An</w:t>
      </w:r>
      <w:r w:rsidR="00B75B47">
        <w:t xml:space="preserve"> itemi</w:t>
      </w:r>
      <w:r w:rsidR="00AE5224">
        <w:t xml:space="preserve">zation </w:t>
      </w:r>
      <w:r w:rsidR="00B75B47">
        <w:t>to worksheet “</w:t>
      </w:r>
      <w:r w:rsidR="00AE5224" w:rsidRPr="00435D2A">
        <w:rPr>
          <w:i/>
        </w:rPr>
        <w:t>2-Groundwater-ET&amp;Boundary-Flux</w:t>
      </w:r>
      <w:r w:rsidR="00AE5224">
        <w:t>”</w:t>
      </w:r>
      <w:r w:rsidR="00B75B47">
        <w:t xml:space="preserve"> </w:t>
      </w:r>
      <w:r>
        <w:t>was added</w:t>
      </w:r>
      <w:r w:rsidR="00F11D5A">
        <w:t>,</w:t>
      </w:r>
      <w:r>
        <w:t xml:space="preserve"> </w:t>
      </w:r>
      <w:r w:rsidR="00E04FFA">
        <w:t xml:space="preserve">and </w:t>
      </w:r>
      <w:r w:rsidR="00AE5224">
        <w:t>list</w:t>
      </w:r>
      <w:r w:rsidR="00E04FFA">
        <w:t>s</w:t>
      </w:r>
      <w:r w:rsidR="00AE5224">
        <w:t xml:space="preserve"> </w:t>
      </w:r>
      <w:r w:rsidR="00B75B47">
        <w:t xml:space="preserve">the </w:t>
      </w:r>
      <w:r w:rsidR="00F11D5A">
        <w:t>groundwater-</w:t>
      </w:r>
      <w:r w:rsidR="00B75B47">
        <w:t>ET estimates and their respective data sources for the hydrographic areas of the WRFS.</w:t>
      </w:r>
    </w:p>
    <w:p w:rsidR="00B75B47" w:rsidRDefault="00B75B47" w:rsidP="00B75B47">
      <w:pPr>
        <w:pStyle w:val="ListParagraph"/>
      </w:pPr>
    </w:p>
    <w:p w:rsidR="00B75B47" w:rsidRDefault="00435D2A" w:rsidP="00226D17">
      <w:pPr>
        <w:pStyle w:val="ListParagraph"/>
        <w:numPr>
          <w:ilvl w:val="0"/>
          <w:numId w:val="2"/>
        </w:numPr>
        <w:jc w:val="both"/>
      </w:pPr>
      <w:r>
        <w:t>W</w:t>
      </w:r>
      <w:r w:rsidR="00AE5224">
        <w:t>orksheet “</w:t>
      </w:r>
      <w:r w:rsidR="00AE5224" w:rsidRPr="00435D2A">
        <w:rPr>
          <w:i/>
        </w:rPr>
        <w:t>5-Basin-Recharge-calcs</w:t>
      </w:r>
      <w:r w:rsidR="00AE5224">
        <w:t xml:space="preserve">” </w:t>
      </w:r>
      <w:r>
        <w:t xml:space="preserve">was added </w:t>
      </w:r>
      <w:r w:rsidR="00AE5224">
        <w:t>to quantify recharge estimates for all hydrographic areas of the WRFS given the solution reported in Burns and Drici (2011).</w:t>
      </w:r>
    </w:p>
    <w:p w:rsidR="00AE5224" w:rsidRDefault="00AE5224" w:rsidP="00AE5224">
      <w:pPr>
        <w:pStyle w:val="ListParagraph"/>
      </w:pPr>
    </w:p>
    <w:p w:rsidR="00AE5224" w:rsidRDefault="00435D2A" w:rsidP="00226D17">
      <w:pPr>
        <w:pStyle w:val="ListParagraph"/>
        <w:numPr>
          <w:ilvl w:val="0"/>
          <w:numId w:val="2"/>
        </w:numPr>
        <w:jc w:val="both"/>
      </w:pPr>
      <w:r>
        <w:t>W</w:t>
      </w:r>
      <w:r w:rsidR="00AE5224">
        <w:t>orksheet “</w:t>
      </w:r>
      <w:r w:rsidR="00AE5224" w:rsidRPr="00435D2A">
        <w:rPr>
          <w:i/>
        </w:rPr>
        <w:t>6-Shingle-Pass-Outflow</w:t>
      </w:r>
      <w:r w:rsidR="00AE5224">
        <w:t>”</w:t>
      </w:r>
      <w:r w:rsidR="00A235FE">
        <w:t xml:space="preserve"> </w:t>
      </w:r>
      <w:r>
        <w:t xml:space="preserve">was added </w:t>
      </w:r>
      <w:r w:rsidR="00A235FE">
        <w:t>to quantify recharge for the p</w:t>
      </w:r>
      <w:r w:rsidR="00A235FE" w:rsidRPr="00A235FE">
        <w:t xml:space="preserve">ortion of </w:t>
      </w:r>
      <w:r w:rsidR="00A235FE">
        <w:t xml:space="preserve">the Cave Valley that is </w:t>
      </w:r>
      <w:r w:rsidR="00A235FE" w:rsidRPr="00A235FE">
        <w:t>interpreted to contribute outflow to WRV through Shingle Pass</w:t>
      </w:r>
      <w:r w:rsidR="00A235FE">
        <w:t>.</w:t>
      </w:r>
    </w:p>
    <w:p w:rsidR="00A235FE" w:rsidRDefault="00A235FE" w:rsidP="00A235FE">
      <w:pPr>
        <w:pStyle w:val="ListParagraph"/>
      </w:pPr>
    </w:p>
    <w:p w:rsidR="00A235FE" w:rsidRDefault="00435D2A" w:rsidP="00226D17">
      <w:pPr>
        <w:pStyle w:val="ListParagraph"/>
        <w:numPr>
          <w:ilvl w:val="0"/>
          <w:numId w:val="2"/>
        </w:numPr>
        <w:jc w:val="both"/>
      </w:pPr>
      <w:r>
        <w:t>W</w:t>
      </w:r>
      <w:r w:rsidR="00A235FE">
        <w:t>orksheet “</w:t>
      </w:r>
      <w:r w:rsidR="00A235FE" w:rsidRPr="00435D2A">
        <w:rPr>
          <w:i/>
        </w:rPr>
        <w:t>7-Basin-Map</w:t>
      </w:r>
      <w:r w:rsidR="00A235FE">
        <w:t xml:space="preserve">” </w:t>
      </w:r>
      <w:r>
        <w:t xml:space="preserve">was added </w:t>
      </w:r>
      <w:r w:rsidR="00A235FE">
        <w:t xml:space="preserve">to </w:t>
      </w:r>
      <w:r>
        <w:t>provide groundwater recharge and discharge estimates for the hydrographic areas comprising the WRFS.</w:t>
      </w:r>
    </w:p>
    <w:sectPr w:rsidR="00A235FE" w:rsidSect="00B2468A">
      <w:headerReference w:type="default" r:id="rId7"/>
      <w:footerReference w:type="default" r:id="rId8"/>
      <w:pgSz w:w="12240" w:h="15840"/>
      <w:pgMar w:top="1440" w:right="720" w:bottom="36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EC" w:rsidRDefault="00B11DEC" w:rsidP="00132E31">
      <w:r>
        <w:separator/>
      </w:r>
    </w:p>
  </w:endnote>
  <w:endnote w:type="continuationSeparator" w:id="0">
    <w:p w:rsidR="00B11DEC" w:rsidRDefault="00B11DEC" w:rsidP="00132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6922"/>
      <w:docPartObj>
        <w:docPartGallery w:val="Page Numbers (Bottom of Page)"/>
        <w:docPartUnique/>
      </w:docPartObj>
    </w:sdtPr>
    <w:sdtContent>
      <w:sdt>
        <w:sdtPr>
          <w:id w:val="565050523"/>
          <w:docPartObj>
            <w:docPartGallery w:val="Page Numbers (Top of Page)"/>
            <w:docPartUnique/>
          </w:docPartObj>
        </w:sdtPr>
        <w:sdtContent>
          <w:p w:rsidR="00132E31" w:rsidRDefault="00132E31">
            <w:pPr>
              <w:pStyle w:val="Footer"/>
              <w:jc w:val="right"/>
            </w:pPr>
            <w:r>
              <w:t xml:space="preserve">Page </w:t>
            </w:r>
            <w:r w:rsidR="00A90EAB">
              <w:rPr>
                <w:b/>
                <w:szCs w:val="24"/>
              </w:rPr>
              <w:fldChar w:fldCharType="begin"/>
            </w:r>
            <w:r>
              <w:rPr>
                <w:b/>
              </w:rPr>
              <w:instrText xml:space="preserve"> PAGE </w:instrText>
            </w:r>
            <w:r w:rsidR="00A90EAB">
              <w:rPr>
                <w:b/>
                <w:szCs w:val="24"/>
              </w:rPr>
              <w:fldChar w:fldCharType="separate"/>
            </w:r>
            <w:r w:rsidR="00435CF1">
              <w:rPr>
                <w:b/>
                <w:noProof/>
              </w:rPr>
              <w:t>2</w:t>
            </w:r>
            <w:r w:rsidR="00A90EAB">
              <w:rPr>
                <w:b/>
                <w:szCs w:val="24"/>
              </w:rPr>
              <w:fldChar w:fldCharType="end"/>
            </w:r>
            <w:r>
              <w:t xml:space="preserve"> of </w:t>
            </w:r>
            <w:r w:rsidR="00A90EAB">
              <w:rPr>
                <w:b/>
                <w:szCs w:val="24"/>
              </w:rPr>
              <w:fldChar w:fldCharType="begin"/>
            </w:r>
            <w:r>
              <w:rPr>
                <w:b/>
              </w:rPr>
              <w:instrText xml:space="preserve"> NUMPAGES  </w:instrText>
            </w:r>
            <w:r w:rsidR="00A90EAB">
              <w:rPr>
                <w:b/>
                <w:szCs w:val="24"/>
              </w:rPr>
              <w:fldChar w:fldCharType="separate"/>
            </w:r>
            <w:r w:rsidR="00435CF1">
              <w:rPr>
                <w:b/>
                <w:noProof/>
              </w:rPr>
              <w:t>2</w:t>
            </w:r>
            <w:r w:rsidR="00A90EAB">
              <w:rPr>
                <w:b/>
                <w:szCs w:val="24"/>
              </w:rPr>
              <w:fldChar w:fldCharType="end"/>
            </w:r>
          </w:p>
        </w:sdtContent>
      </w:sdt>
    </w:sdtContent>
  </w:sdt>
  <w:p w:rsidR="00132E31" w:rsidRDefault="00132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EC" w:rsidRDefault="00B11DEC" w:rsidP="00132E31">
      <w:r>
        <w:separator/>
      </w:r>
    </w:p>
  </w:footnote>
  <w:footnote w:type="continuationSeparator" w:id="0">
    <w:p w:rsidR="00B11DEC" w:rsidRDefault="00B11DEC" w:rsidP="0013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5A" w:rsidRDefault="00F11D5A" w:rsidP="00F11D5A">
    <w:pPr>
      <w:jc w:val="right"/>
      <w:rPr>
        <w:b/>
      </w:rPr>
    </w:pPr>
  </w:p>
  <w:p w:rsidR="00F11D5A" w:rsidRDefault="00F11D5A" w:rsidP="00F11D5A">
    <w:pPr>
      <w:jc w:val="right"/>
      <w:rPr>
        <w:b/>
      </w:rPr>
    </w:pPr>
    <w:r>
      <w:rPr>
        <w:b/>
      </w:rPr>
      <w:t>October 11, 2011</w:t>
    </w:r>
  </w:p>
  <w:p w:rsidR="00F11D5A" w:rsidRDefault="00F11D5A" w:rsidP="00F11D5A">
    <w:pPr>
      <w:rPr>
        <w:b/>
      </w:rPr>
    </w:pPr>
  </w:p>
  <w:p w:rsidR="00F11D5A" w:rsidRDefault="00F11D5A" w:rsidP="00F11D5A">
    <w:pPr>
      <w:rPr>
        <w:b/>
      </w:rPr>
    </w:pPr>
  </w:p>
  <w:p w:rsidR="00F11D5A" w:rsidRDefault="00F11D5A" w:rsidP="00F11D5A">
    <w:pPr>
      <w:jc w:val="both"/>
      <w:rPr>
        <w:b/>
      </w:rPr>
    </w:pPr>
    <w:r>
      <w:rPr>
        <w:b/>
      </w:rPr>
      <w:t xml:space="preserve">This document provides an explanation of additional documentation submitted to the Nevada State Engineer related to the White River Flow System (WRFS) solver submitted as part of SNWA Exhibit 0258 (Burns and Drici, 2011). </w:t>
    </w:r>
  </w:p>
  <w:p w:rsidR="00F11D5A" w:rsidRDefault="00F11D5A">
    <w:pPr>
      <w:pStyle w:val="Header"/>
    </w:pPr>
  </w:p>
  <w:p w:rsidR="00F11D5A" w:rsidRDefault="00F11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1F71"/>
    <w:multiLevelType w:val="hybridMultilevel"/>
    <w:tmpl w:val="A30A5D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9C166B"/>
    <w:multiLevelType w:val="hybridMultilevel"/>
    <w:tmpl w:val="638427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3694"/>
    <w:rsid w:val="0002166E"/>
    <w:rsid w:val="000245EF"/>
    <w:rsid w:val="00081027"/>
    <w:rsid w:val="001152A3"/>
    <w:rsid w:val="00132E31"/>
    <w:rsid w:val="001462D7"/>
    <w:rsid w:val="00195881"/>
    <w:rsid w:val="001B1F2B"/>
    <w:rsid w:val="00226D17"/>
    <w:rsid w:val="00283653"/>
    <w:rsid w:val="002A3BED"/>
    <w:rsid w:val="004146AE"/>
    <w:rsid w:val="00435CF1"/>
    <w:rsid w:val="00435D2A"/>
    <w:rsid w:val="004762D5"/>
    <w:rsid w:val="004D1AD5"/>
    <w:rsid w:val="00631A2C"/>
    <w:rsid w:val="00662997"/>
    <w:rsid w:val="006E66C6"/>
    <w:rsid w:val="008046DB"/>
    <w:rsid w:val="008B7158"/>
    <w:rsid w:val="00997CA6"/>
    <w:rsid w:val="00A235FE"/>
    <w:rsid w:val="00A90EAB"/>
    <w:rsid w:val="00AE5224"/>
    <w:rsid w:val="00B11DEC"/>
    <w:rsid w:val="00B2468A"/>
    <w:rsid w:val="00B75B47"/>
    <w:rsid w:val="00B86F82"/>
    <w:rsid w:val="00BF3694"/>
    <w:rsid w:val="00D54D45"/>
    <w:rsid w:val="00D56AC7"/>
    <w:rsid w:val="00DB12DF"/>
    <w:rsid w:val="00E04FFA"/>
    <w:rsid w:val="00E33984"/>
    <w:rsid w:val="00E36998"/>
    <w:rsid w:val="00EA43BC"/>
    <w:rsid w:val="00F001C5"/>
    <w:rsid w:val="00F11D5A"/>
    <w:rsid w:val="00F922CD"/>
    <w:rsid w:val="00FF3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A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694"/>
    <w:pPr>
      <w:ind w:left="720"/>
      <w:contextualSpacing/>
    </w:pPr>
  </w:style>
  <w:style w:type="paragraph" w:styleId="Header">
    <w:name w:val="header"/>
    <w:basedOn w:val="Normal"/>
    <w:link w:val="HeaderChar"/>
    <w:uiPriority w:val="99"/>
    <w:unhideWhenUsed/>
    <w:rsid w:val="00132E31"/>
    <w:pPr>
      <w:tabs>
        <w:tab w:val="center" w:pos="4680"/>
        <w:tab w:val="right" w:pos="9360"/>
      </w:tabs>
    </w:pPr>
  </w:style>
  <w:style w:type="character" w:customStyle="1" w:styleId="HeaderChar">
    <w:name w:val="Header Char"/>
    <w:basedOn w:val="DefaultParagraphFont"/>
    <w:link w:val="Header"/>
    <w:uiPriority w:val="99"/>
    <w:rsid w:val="00132E31"/>
    <w:rPr>
      <w:rFonts w:ascii="Times New Roman" w:hAnsi="Times New Roman"/>
      <w:sz w:val="24"/>
    </w:rPr>
  </w:style>
  <w:style w:type="paragraph" w:styleId="Footer">
    <w:name w:val="footer"/>
    <w:basedOn w:val="Normal"/>
    <w:link w:val="FooterChar"/>
    <w:uiPriority w:val="99"/>
    <w:unhideWhenUsed/>
    <w:rsid w:val="00132E31"/>
    <w:pPr>
      <w:tabs>
        <w:tab w:val="center" w:pos="4680"/>
        <w:tab w:val="right" w:pos="9360"/>
      </w:tabs>
    </w:pPr>
  </w:style>
  <w:style w:type="character" w:customStyle="1" w:styleId="FooterChar">
    <w:name w:val="Footer Char"/>
    <w:basedOn w:val="DefaultParagraphFont"/>
    <w:link w:val="Footer"/>
    <w:uiPriority w:val="99"/>
    <w:rsid w:val="00132E31"/>
    <w:rPr>
      <w:rFonts w:ascii="Times New Roman" w:hAnsi="Times New Roman"/>
      <w:sz w:val="24"/>
    </w:rPr>
  </w:style>
  <w:style w:type="paragraph" w:styleId="BalloonText">
    <w:name w:val="Balloon Text"/>
    <w:basedOn w:val="Normal"/>
    <w:link w:val="BalloonTextChar"/>
    <w:uiPriority w:val="99"/>
    <w:semiHidden/>
    <w:unhideWhenUsed/>
    <w:rsid w:val="00F11D5A"/>
    <w:rPr>
      <w:rFonts w:ascii="Tahoma" w:hAnsi="Tahoma" w:cs="Tahoma"/>
      <w:sz w:val="16"/>
      <w:szCs w:val="16"/>
    </w:rPr>
  </w:style>
  <w:style w:type="character" w:customStyle="1" w:styleId="BalloonTextChar">
    <w:name w:val="Balloon Text Char"/>
    <w:basedOn w:val="DefaultParagraphFont"/>
    <w:link w:val="BalloonText"/>
    <w:uiPriority w:val="99"/>
    <w:semiHidden/>
    <w:rsid w:val="00F11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LVVWD SNWA SNWS</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burnsa</dc:creator>
  <cp:keywords/>
  <dc:description/>
  <cp:lastModifiedBy>burnsa</cp:lastModifiedBy>
  <cp:revision>18</cp:revision>
  <cp:lastPrinted>2011-10-10T22:16:00Z</cp:lastPrinted>
  <dcterms:created xsi:type="dcterms:W3CDTF">2011-10-10T18:29:00Z</dcterms:created>
  <dcterms:modified xsi:type="dcterms:W3CDTF">2011-10-11T03:03:00Z</dcterms:modified>
</cp:coreProperties>
</file>